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1737CA">
        <w:rPr>
          <w:rFonts w:ascii="Arial" w:eastAsia="Arial" w:hAnsi="Arial" w:cs="Arial"/>
          <w:sz w:val="24"/>
          <w:szCs w:val="24"/>
        </w:rPr>
        <w:t>22</w:t>
      </w:r>
      <w:r w:rsidR="000A5865" w:rsidRPr="00220418">
        <w:rPr>
          <w:rFonts w:ascii="Arial" w:eastAsia="Arial" w:hAnsi="Arial" w:cs="Arial"/>
          <w:sz w:val="24"/>
          <w:szCs w:val="24"/>
        </w:rPr>
        <w:t>.</w:t>
      </w:r>
      <w:r w:rsidR="001737CA">
        <w:rPr>
          <w:rFonts w:ascii="Arial" w:eastAsia="Arial" w:hAnsi="Arial" w:cs="Arial"/>
          <w:sz w:val="24"/>
          <w:szCs w:val="24"/>
        </w:rPr>
        <w:t>11</w:t>
      </w:r>
      <w:r w:rsidR="000A5865" w:rsidRPr="00220418">
        <w:rPr>
          <w:rFonts w:ascii="Arial" w:eastAsia="Arial" w:hAnsi="Arial" w:cs="Arial"/>
          <w:sz w:val="24"/>
          <w:szCs w:val="24"/>
        </w:rPr>
        <w:t>.</w:t>
      </w:r>
      <w:r w:rsidRPr="00220418">
        <w:rPr>
          <w:rFonts w:ascii="Arial" w:eastAsia="Arial" w:hAnsi="Arial" w:cs="Arial"/>
          <w:sz w:val="24"/>
          <w:szCs w:val="24"/>
        </w:rPr>
        <w:t>2022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EA2548" w:rsidRDefault="00DE7C9F" w:rsidP="00E9740B">
      <w:pPr>
        <w:spacing w:after="160" w:line="276" w:lineRule="auto"/>
        <w:contextualSpacing/>
        <w:jc w:val="both"/>
        <w:rPr>
          <w:rFonts w:ascii="Arial" w:hAnsi="Arial" w:cs="Arial"/>
          <w:b/>
          <w:bCs/>
          <w:sz w:val="24"/>
          <w:szCs w:val="24"/>
        </w:rPr>
      </w:pPr>
      <w:r w:rsidRPr="00EA2548">
        <w:rPr>
          <w:rFonts w:ascii="Arial" w:hAnsi="Arial" w:cs="Arial"/>
          <w:b/>
          <w:bCs/>
          <w:sz w:val="24"/>
          <w:szCs w:val="24"/>
        </w:rPr>
        <w:t>Sukcesywn</w:t>
      </w:r>
      <w:r w:rsidR="004C3C31" w:rsidRPr="00EA2548">
        <w:rPr>
          <w:rFonts w:ascii="Arial" w:hAnsi="Arial" w:cs="Arial"/>
          <w:b/>
          <w:bCs/>
          <w:sz w:val="24"/>
          <w:szCs w:val="24"/>
        </w:rPr>
        <w:t>e</w:t>
      </w:r>
      <w:r w:rsidRPr="00EA2548">
        <w:rPr>
          <w:rFonts w:ascii="Arial" w:hAnsi="Arial" w:cs="Arial"/>
          <w:b/>
          <w:bCs/>
          <w:sz w:val="24"/>
          <w:szCs w:val="24"/>
        </w:rPr>
        <w:t xml:space="preserve"> dostaw</w:t>
      </w:r>
      <w:r w:rsidR="004C3C31" w:rsidRPr="00EA2548">
        <w:rPr>
          <w:rFonts w:ascii="Arial" w:hAnsi="Arial" w:cs="Arial"/>
          <w:b/>
          <w:bCs/>
          <w:sz w:val="24"/>
          <w:szCs w:val="24"/>
        </w:rPr>
        <w:t>y</w:t>
      </w:r>
      <w:r w:rsidRPr="00EA2548">
        <w:rPr>
          <w:rFonts w:ascii="Arial" w:hAnsi="Arial" w:cs="Arial"/>
          <w:b/>
          <w:bCs/>
          <w:sz w:val="24"/>
          <w:szCs w:val="24"/>
        </w:rPr>
        <w:t xml:space="preserve"> mięsa wieprzowego i drobiowego, podrobów jadalnych, produktów mięsnych i wędlin </w:t>
      </w:r>
      <w:r w:rsidR="001A54CD" w:rsidRPr="00EA2548">
        <w:rPr>
          <w:rFonts w:ascii="Arial" w:hAnsi="Arial" w:cs="Arial"/>
          <w:b/>
          <w:bCs/>
          <w:sz w:val="24"/>
          <w:szCs w:val="24"/>
        </w:rPr>
        <w:t xml:space="preserve">na potrzeby wychowanków, </w:t>
      </w:r>
      <w:r w:rsidR="00471CFC" w:rsidRPr="00EA2548">
        <w:rPr>
          <w:rFonts w:ascii="Arial" w:hAnsi="Arial" w:cs="Arial"/>
          <w:b/>
          <w:bCs/>
          <w:sz w:val="24"/>
          <w:szCs w:val="24"/>
        </w:rPr>
        <w:t>d</w:t>
      </w:r>
      <w:r w:rsidR="000252BC" w:rsidRPr="00EA2548">
        <w:rPr>
          <w:rFonts w:ascii="Arial" w:hAnsi="Arial" w:cs="Arial"/>
          <w:b/>
          <w:bCs/>
          <w:sz w:val="24"/>
          <w:szCs w:val="24"/>
        </w:rPr>
        <w:t xml:space="preserve">o Bursy Szkolnej Nr 12 w Łodzi przy </w:t>
      </w:r>
      <w:r w:rsidR="00471CFC" w:rsidRPr="00EA2548">
        <w:rPr>
          <w:rFonts w:ascii="Arial" w:hAnsi="Arial" w:cs="Arial"/>
          <w:b/>
          <w:bCs/>
          <w:sz w:val="24"/>
          <w:szCs w:val="24"/>
        </w:rPr>
        <w:t>ul. Podgórn</w:t>
      </w:r>
      <w:r w:rsidR="000252BC" w:rsidRPr="00EA2548">
        <w:rPr>
          <w:rFonts w:ascii="Arial" w:hAnsi="Arial" w:cs="Arial"/>
          <w:b/>
          <w:bCs/>
          <w:sz w:val="24"/>
          <w:szCs w:val="24"/>
        </w:rPr>
        <w:t>ej 9/11, w roku szkolnym 2022/2023.</w:t>
      </w:r>
    </w:p>
    <w:p w:rsidR="00F07D7F" w:rsidRDefault="00F07D7F"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r>
      <w:r w:rsidR="001737CA">
        <w:rPr>
          <w:rFonts w:ascii="Arial" w:hAnsi="Arial" w:cs="Arial"/>
          <w:b/>
          <w:bCs/>
          <w:sz w:val="24"/>
          <w:szCs w:val="24"/>
        </w:rPr>
        <w:t>BS12.ZP.III.26.10.2022</w:t>
      </w:r>
    </w:p>
    <w:p w:rsidR="00AA7C7E" w:rsidRDefault="00AA7C7E"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Katarzyna </w:t>
      </w:r>
      <w:proofErr w:type="spellStart"/>
      <w:r>
        <w:rPr>
          <w:rFonts w:ascii="Arial" w:eastAsia="Arial" w:hAnsi="Arial" w:cs="Arial"/>
          <w:b/>
          <w:sz w:val="24"/>
          <w:szCs w:val="24"/>
        </w:rPr>
        <w:t>Łączek-Stuleblak</w:t>
      </w:r>
      <w:proofErr w:type="spellEnd"/>
    </w:p>
    <w:p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CE15A5" w:rsidRPr="009119FC" w:rsidRDefault="00CE15A5" w:rsidP="001E6F56">
      <w:pPr>
        <w:spacing w:line="276" w:lineRule="auto"/>
        <w:ind w:left="4540"/>
        <w:jc w:val="both"/>
        <w:rPr>
          <w:rFonts w:ascii="Arial" w:eastAsia="Arial" w:hAnsi="Arial" w:cs="Arial"/>
          <w:b/>
          <w:bCs/>
          <w:sz w:val="24"/>
          <w:szCs w:val="24"/>
        </w:rPr>
      </w:pPr>
    </w:p>
    <w:p w:rsidR="00CE15A5" w:rsidRDefault="00CE15A5" w:rsidP="001E6F56">
      <w:pPr>
        <w:spacing w:line="276" w:lineRule="auto"/>
        <w:ind w:left="4540"/>
        <w:jc w:val="both"/>
        <w:rPr>
          <w:rFonts w:ascii="Arial" w:eastAsia="Arial" w:hAnsi="Arial" w:cs="Arial"/>
          <w:b/>
          <w:bCs/>
          <w:sz w:val="24"/>
          <w:szCs w:val="24"/>
        </w:rPr>
      </w:pPr>
    </w:p>
    <w:p w:rsidR="00A30ED6" w:rsidRDefault="00A30ED6" w:rsidP="001E6F56">
      <w:pPr>
        <w:spacing w:line="276" w:lineRule="auto"/>
        <w:ind w:left="4540"/>
        <w:jc w:val="both"/>
        <w:rPr>
          <w:rFonts w:ascii="Arial" w:eastAsia="Arial" w:hAnsi="Arial" w:cs="Arial"/>
          <w:b/>
          <w:bCs/>
          <w:sz w:val="24"/>
          <w:szCs w:val="24"/>
        </w:rPr>
      </w:pPr>
    </w:p>
    <w:p w:rsidR="00A30ED6" w:rsidRPr="009119FC" w:rsidRDefault="00A30ED6" w:rsidP="001E6F56">
      <w:pPr>
        <w:spacing w:line="276" w:lineRule="auto"/>
        <w:ind w:left="4540"/>
        <w:jc w:val="both"/>
        <w:rPr>
          <w:rFonts w:ascii="Arial" w:eastAsia="Arial" w:hAnsi="Arial" w:cs="Arial"/>
          <w:b/>
          <w:bCs/>
          <w:sz w:val="24"/>
          <w:szCs w:val="24"/>
        </w:rPr>
      </w:pP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r w:rsidR="00023075">
        <w:fldChar w:fldCharType="begin"/>
      </w:r>
      <w:r w:rsidR="001B73F1">
        <w:instrText>HYPERLINK "mailto:kontakt@bs12.elodz.edu.pl"</w:instrText>
      </w:r>
      <w:r w:rsidR="00023075">
        <w:fldChar w:fldCharType="separate"/>
      </w:r>
      <w:r w:rsidR="004841C0" w:rsidRPr="00B83C74">
        <w:rPr>
          <w:rStyle w:val="Hipercze"/>
          <w:rFonts w:ascii="Arial" w:eastAsia="Arial" w:hAnsi="Arial" w:cs="Arial"/>
          <w:sz w:val="24"/>
          <w:szCs w:val="24"/>
          <w:lang w:val="it-IT"/>
        </w:rPr>
        <w:t>kontakt@bs12.elodz.edu.pl</w:t>
      </w:r>
      <w:r w:rsidR="00023075">
        <w:fldChar w:fldCharType="end"/>
      </w:r>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adres strony</w:t>
      </w:r>
      <w:r w:rsidR="009B7C86">
        <w:rPr>
          <w:rFonts w:ascii="Arial" w:eastAsia="Arial" w:hAnsi="Arial" w:cs="Arial"/>
          <w:sz w:val="24"/>
          <w:szCs w:val="24"/>
        </w:rPr>
        <w:t xml:space="preserve"> 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7" w:history="1">
        <w:r w:rsidR="0013169F" w:rsidRPr="003E03A0">
          <w:rPr>
            <w:rStyle w:val="Hipercze"/>
            <w:rFonts w:ascii="Arial" w:eastAsia="Arial" w:hAnsi="Arial" w:cs="Arial"/>
            <w:sz w:val="24"/>
            <w:szCs w:val="24"/>
          </w:rPr>
          <w:t>https://www.bs12lodz.bip.wikom.pl/</w:t>
        </w:r>
      </w:hyperlink>
      <w:r w:rsidRPr="009119FC">
        <w:rPr>
          <w:rFonts w:ascii="Arial" w:eastAsia="Arial" w:hAnsi="Arial" w:cs="Arial"/>
          <w:sz w:val="24"/>
          <w:szCs w:val="24"/>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8"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023075" w:rsidP="001E6F56">
      <w:pPr>
        <w:spacing w:line="276" w:lineRule="auto"/>
        <w:ind w:left="421"/>
        <w:jc w:val="both"/>
        <w:rPr>
          <w:rFonts w:ascii="Arial" w:eastAsia="Arial" w:hAnsi="Arial" w:cs="Arial"/>
          <w:sz w:val="24"/>
          <w:szCs w:val="24"/>
        </w:rPr>
      </w:pP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1"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w:t>
      </w:r>
      <w:proofErr w:type="spellStart"/>
      <w:r w:rsidR="00CA4EAA">
        <w:rPr>
          <w:rFonts w:ascii="Arial" w:eastAsia="Arial" w:hAnsi="Arial" w:cs="Arial"/>
          <w:sz w:val="24"/>
          <w:szCs w:val="24"/>
        </w:rPr>
        <w:t>pkt</w:t>
      </w:r>
      <w:proofErr w:type="spellEnd"/>
      <w:r w:rsidR="00CA4EAA">
        <w:rPr>
          <w:rFonts w:ascii="Arial" w:eastAsia="Arial" w:hAnsi="Arial" w:cs="Arial"/>
          <w:sz w:val="24"/>
          <w:szCs w:val="24"/>
        </w:rPr>
        <w:t xml:space="preserve">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mięsa wieprzowego i drobiowego, podrobów jadalnych, produktów mięsnych i wędlin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rsidR="00C23254" w:rsidRPr="00220418"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15100000</w:t>
      </w:r>
      <w:r w:rsidR="00C23254" w:rsidRPr="00220418">
        <w:rPr>
          <w:rFonts w:ascii="Arial" w:hAnsi="Arial" w:cs="Arial"/>
          <w:b/>
          <w:sz w:val="24"/>
          <w:szCs w:val="24"/>
        </w:rPr>
        <w:t xml:space="preserve">-9 </w:t>
      </w:r>
      <w:r w:rsidRPr="00220418">
        <w:rPr>
          <w:rFonts w:ascii="Arial" w:hAnsi="Arial" w:cs="Arial"/>
          <w:b/>
          <w:sz w:val="24"/>
          <w:szCs w:val="24"/>
        </w:rPr>
        <w:t>produkty zwierzęce, mięso i produkty mięsne</w:t>
      </w:r>
    </w:p>
    <w:p w:rsidR="00C23254" w:rsidRPr="00220418" w:rsidRDefault="00C23254" w:rsidP="001E6F56">
      <w:pPr>
        <w:spacing w:line="276" w:lineRule="auto"/>
        <w:ind w:left="360" w:firstLine="567"/>
        <w:jc w:val="both"/>
        <w:rPr>
          <w:rFonts w:ascii="Arial" w:hAnsi="Arial" w:cs="Arial"/>
          <w:b/>
          <w:sz w:val="24"/>
          <w:szCs w:val="24"/>
          <w:u w:val="single"/>
        </w:rPr>
      </w:pPr>
    </w:p>
    <w:p w:rsidR="00C23254" w:rsidRPr="00220418" w:rsidRDefault="00C23254" w:rsidP="001E6F56">
      <w:pPr>
        <w:spacing w:line="276" w:lineRule="auto"/>
        <w:ind w:left="360" w:firstLine="567"/>
        <w:jc w:val="both"/>
        <w:rPr>
          <w:rFonts w:ascii="Arial" w:hAnsi="Arial" w:cs="Arial"/>
          <w:b/>
          <w:sz w:val="24"/>
          <w:szCs w:val="24"/>
          <w:u w:val="single"/>
        </w:rPr>
      </w:pPr>
      <w:r w:rsidRPr="00220418">
        <w:rPr>
          <w:rFonts w:ascii="Arial" w:hAnsi="Arial" w:cs="Arial"/>
          <w:b/>
          <w:sz w:val="24"/>
          <w:szCs w:val="24"/>
          <w:u w:val="single"/>
        </w:rPr>
        <w:t>Dodatkowy kod CPV</w:t>
      </w:r>
    </w:p>
    <w:p w:rsidR="00C23254"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15110000</w:t>
      </w:r>
      <w:r w:rsidR="00C23254" w:rsidRPr="00220418">
        <w:rPr>
          <w:rFonts w:ascii="Arial" w:hAnsi="Arial" w:cs="Arial"/>
          <w:b/>
          <w:sz w:val="24"/>
          <w:szCs w:val="24"/>
        </w:rPr>
        <w:t>-</w:t>
      </w:r>
      <w:r w:rsidRPr="00220418">
        <w:rPr>
          <w:rFonts w:ascii="Arial" w:hAnsi="Arial" w:cs="Arial"/>
          <w:b/>
          <w:sz w:val="24"/>
          <w:szCs w:val="24"/>
        </w:rPr>
        <w:t>2 mięso</w:t>
      </w:r>
    </w:p>
    <w:p w:rsidR="00BD440C" w:rsidRDefault="00BD440C" w:rsidP="001E6F56">
      <w:pPr>
        <w:spacing w:line="276" w:lineRule="auto"/>
        <w:ind w:left="360" w:firstLine="567"/>
        <w:jc w:val="both"/>
        <w:rPr>
          <w:rFonts w:ascii="Arial" w:hAnsi="Arial" w:cs="Arial"/>
          <w:b/>
          <w:sz w:val="24"/>
          <w:szCs w:val="24"/>
        </w:rPr>
      </w:pPr>
      <w:r>
        <w:rPr>
          <w:rFonts w:ascii="Arial" w:hAnsi="Arial" w:cs="Arial"/>
          <w:b/>
          <w:sz w:val="24"/>
          <w:szCs w:val="24"/>
        </w:rPr>
        <w:t>15131130-5 wędliny</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435A5F">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lastRenderedPageBreak/>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 xml:space="preserve">15 czerwca 2012 r. o skutkach powierzania wykonywania pracy </w:t>
      </w:r>
      <w:r w:rsidR="00CE15A5" w:rsidRPr="009119FC">
        <w:rPr>
          <w:rFonts w:ascii="Arial" w:eastAsia="Arial" w:hAnsi="Arial" w:cs="Arial"/>
          <w:sz w:val="24"/>
          <w:szCs w:val="24"/>
        </w:rPr>
        <w:lastRenderedPageBreak/>
        <w:t>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w:t>
      </w:r>
      <w:proofErr w:type="spellStart"/>
      <w:r w:rsidR="00CE15A5" w:rsidRPr="009119FC">
        <w:rPr>
          <w:rFonts w:ascii="Arial" w:eastAsia="Arial" w:hAnsi="Arial" w:cs="Arial"/>
          <w:sz w:val="24"/>
          <w:szCs w:val="24"/>
        </w:rPr>
        <w:t>komplementariusza</w:t>
      </w:r>
      <w:proofErr w:type="spellEnd"/>
      <w:r w:rsidR="00CE15A5" w:rsidRPr="009119FC">
        <w:rPr>
          <w:rFonts w:ascii="Arial" w:eastAsia="Arial" w:hAnsi="Arial" w:cs="Arial"/>
          <w:sz w:val="24"/>
          <w:szCs w:val="24"/>
        </w:rPr>
        <w:t xml:space="preserve"> </w:t>
      </w:r>
      <w:r w:rsidR="00CE15A5" w:rsidRPr="009119FC">
        <w:rPr>
          <w:rFonts w:ascii="Arial" w:eastAsia="Arial" w:hAnsi="Arial" w:cs="Arial"/>
          <w:sz w:val="24"/>
          <w:szCs w:val="24"/>
        </w:rPr>
        <w:br/>
        <w:t xml:space="preserve">w spółce komandytowej lub komandytowo-akcyjnej lub prokurenta prawomocnie skazano za przestępstwo, o którym mowa w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lastRenderedPageBreak/>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00601E79">
        <w:t>pkt</w:t>
      </w:r>
      <w:proofErr w:type="spellEnd"/>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proofErr w:type="spellStart"/>
      <w:r w:rsidR="00601E79">
        <w:t>pkt</w:t>
      </w:r>
      <w:proofErr w:type="spellEnd"/>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lastRenderedPageBreak/>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proofErr w:type="spellStart"/>
      <w:r w:rsidRPr="009F1DFF">
        <w:rPr>
          <w:b/>
          <w:bCs/>
        </w:rPr>
        <w:t>niezwierzęcego</w:t>
      </w:r>
      <w:proofErr w:type="spellEnd"/>
      <w:r w:rsidRPr="009F1DFF">
        <w:rPr>
          <w:b/>
          <w:bCs/>
        </w:rPr>
        <w:t xml:space="preserve"> i 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w:t>
      </w:r>
      <w:r w:rsidRPr="000F4786">
        <w:rPr>
          <w:rFonts w:eastAsiaTheme="minorHAnsi"/>
          <w:lang w:eastAsia="en-US"/>
        </w:rPr>
        <w:lastRenderedPageBreak/>
        <w:t>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proofErr w:type="spellStart"/>
      <w:r w:rsidR="00601E79">
        <w:rPr>
          <w:rFonts w:ascii="Arial" w:hAnsi="Arial" w:cs="Arial"/>
          <w:sz w:val="24"/>
        </w:rPr>
        <w:t>pkt</w:t>
      </w:r>
      <w:proofErr w:type="spellEnd"/>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proofErr w:type="spellStart"/>
      <w:r w:rsidR="00601E79">
        <w:rPr>
          <w:rFonts w:ascii="Arial" w:hAnsi="Arial" w:cs="Arial"/>
          <w:sz w:val="24"/>
        </w:rPr>
        <w:t>pkt</w:t>
      </w:r>
      <w:proofErr w:type="spellEnd"/>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333CF" w:rsidRDefault="00470FE2" w:rsidP="001E6F56">
      <w:pPr>
        <w:spacing w:line="276" w:lineRule="auto"/>
        <w:ind w:left="709" w:hanging="709"/>
        <w:jc w:val="both"/>
        <w:rPr>
          <w:rFonts w:ascii="Arial" w:hAnsi="Arial" w:cs="Arial"/>
          <w:sz w:val="24"/>
          <w:u w:val="single"/>
        </w:rPr>
      </w:pPr>
      <w:r w:rsidRPr="00470FE2">
        <w:rPr>
          <w:rFonts w:ascii="Arial" w:hAnsi="Arial" w:cs="Arial"/>
          <w:sz w:val="24"/>
        </w:rPr>
        <w:t xml:space="preserve">12.2. </w:t>
      </w:r>
      <w:r>
        <w:rPr>
          <w:rFonts w:ascii="Arial" w:hAnsi="Arial" w:cs="Arial"/>
          <w:sz w:val="24"/>
        </w:rPr>
        <w:tab/>
      </w:r>
      <w:r w:rsidRPr="008333CF">
        <w:rPr>
          <w:rFonts w:ascii="Arial" w:hAnsi="Arial" w:cs="Arial"/>
          <w:sz w:val="24"/>
          <w:u w:val="single"/>
        </w:rPr>
        <w:t>W odniesieniu do warunków dotyczących wykształcenia, kwalifikacji zawodowych lub doświadczeni</w:t>
      </w:r>
    </w:p>
    <w:p w:rsidR="008333CF" w:rsidRDefault="008333CF" w:rsidP="001E6F56">
      <w:pPr>
        <w:spacing w:line="276" w:lineRule="auto"/>
        <w:ind w:left="709" w:hanging="709"/>
        <w:jc w:val="both"/>
        <w:rPr>
          <w:rFonts w:ascii="Arial" w:hAnsi="Arial" w:cs="Arial"/>
          <w:sz w:val="24"/>
          <w:u w:val="single"/>
        </w:rPr>
      </w:pPr>
    </w:p>
    <w:p w:rsidR="00470FE2" w:rsidRDefault="008333CF" w:rsidP="001E6F56">
      <w:pPr>
        <w:spacing w:line="276" w:lineRule="auto"/>
        <w:ind w:left="709" w:hanging="709"/>
        <w:jc w:val="both"/>
        <w:rPr>
          <w:rFonts w:ascii="Arial" w:hAnsi="Arial" w:cs="Arial"/>
          <w:sz w:val="24"/>
        </w:rPr>
      </w:pPr>
      <w:r>
        <w:rPr>
          <w:rFonts w:ascii="Arial" w:hAnsi="Arial" w:cs="Arial"/>
          <w:sz w:val="24"/>
          <w:u w:val="single"/>
        </w:rPr>
        <w:t xml:space="preserve">  </w:t>
      </w:r>
      <w:r w:rsidR="00470FE2" w:rsidRPr="008333CF">
        <w:rPr>
          <w:rFonts w:ascii="Arial" w:hAnsi="Arial" w:cs="Arial"/>
          <w:sz w:val="24"/>
          <w:u w:val="single"/>
        </w:rPr>
        <w:t>a</w:t>
      </w:r>
      <w:r w:rsidR="00470FE2" w:rsidRPr="00470FE2">
        <w:rPr>
          <w:rFonts w:ascii="Arial" w:hAnsi="Arial" w:cs="Arial"/>
          <w:sz w:val="24"/>
        </w:rPr>
        <w:t xml:space="preserve">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w:t>
      </w:r>
      <w:r w:rsidRPr="00470FE2">
        <w:rPr>
          <w:rFonts w:ascii="Arial" w:hAnsi="Arial" w:cs="Arial"/>
          <w:sz w:val="24"/>
        </w:rPr>
        <w:lastRenderedPageBreak/>
        <w:t xml:space="preserve">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proofErr w:type="spellStart"/>
      <w:r w:rsidR="00601E79">
        <w:rPr>
          <w:rFonts w:ascii="Arial" w:hAnsi="Arial" w:cs="Arial"/>
          <w:sz w:val="24"/>
        </w:rPr>
        <w:t>pkt</w:t>
      </w:r>
      <w:proofErr w:type="spellEnd"/>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proofErr w:type="spellStart"/>
      <w:r w:rsidR="00601E79">
        <w:rPr>
          <w:rFonts w:ascii="Arial" w:hAnsi="Arial" w:cs="Arial"/>
          <w:sz w:val="24"/>
        </w:rPr>
        <w:t>pkt</w:t>
      </w:r>
      <w:proofErr w:type="spellEnd"/>
      <w:r w:rsidRPr="00827F41">
        <w:rPr>
          <w:rFonts w:ascii="Arial" w:hAnsi="Arial" w:cs="Arial"/>
          <w:sz w:val="24"/>
        </w:rPr>
        <w:t xml:space="preserve"> 10.1 SWZ. </w:t>
      </w:r>
    </w:p>
    <w:p w:rsidR="00827F41" w:rsidRDefault="00827F41" w:rsidP="004F0EA8">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proofErr w:type="spellStart"/>
      <w:r w:rsidR="00601E79">
        <w:rPr>
          <w:rFonts w:ascii="Arial" w:hAnsi="Arial" w:cs="Arial"/>
          <w:sz w:val="24"/>
        </w:rPr>
        <w:t>pkt</w:t>
      </w:r>
      <w:proofErr w:type="spellEnd"/>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3A1F69" w:rsidRDefault="00827F41" w:rsidP="001E6F56">
      <w:pPr>
        <w:spacing w:line="276" w:lineRule="auto"/>
        <w:ind w:left="567" w:hanging="567"/>
        <w:jc w:val="both"/>
        <w:rPr>
          <w:rFonts w:ascii="Arial" w:hAnsi="Arial" w:cs="Arial"/>
          <w:sz w:val="24"/>
        </w:rPr>
      </w:pPr>
      <w:r w:rsidRPr="00827F41">
        <w:rPr>
          <w:rFonts w:ascii="Arial" w:hAnsi="Arial" w:cs="Arial"/>
          <w:sz w:val="24"/>
        </w:rPr>
        <w:t>13.</w:t>
      </w:r>
      <w:r w:rsidR="004F0EA8">
        <w:rPr>
          <w:rFonts w:ascii="Arial" w:hAnsi="Arial" w:cs="Arial"/>
          <w:sz w:val="24"/>
        </w:rPr>
        <w:t>4</w:t>
      </w:r>
      <w:r w:rsidRPr="00827F41">
        <w:rPr>
          <w:rFonts w:ascii="Arial" w:hAnsi="Arial" w:cs="Arial"/>
          <w:sz w:val="24"/>
        </w:rPr>
        <w:t>.Oświadczenia i dokumenty potwierdzające brak podstaw do wykluczenia</w:t>
      </w:r>
      <w:r>
        <w:rPr>
          <w:rFonts w:ascii="Arial" w:hAnsi="Arial" w:cs="Arial"/>
          <w:sz w:val="24"/>
        </w:rPr>
        <w:t xml:space="preserve"> </w:t>
      </w:r>
      <w:r w:rsidRPr="00827F41">
        <w:rPr>
          <w:rFonts w:ascii="Arial" w:hAnsi="Arial" w:cs="Arial"/>
          <w:sz w:val="24"/>
        </w:rPr>
        <w:t xml:space="preserve">z postępowania składa każdy z Wykonawców wspólnie ubiegających się o zamówienie.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w:t>
      </w:r>
      <w:r w:rsidR="004F0EA8">
        <w:rPr>
          <w:rFonts w:ascii="Arial" w:hAnsi="Arial" w:cs="Arial"/>
          <w:sz w:val="24"/>
        </w:rPr>
        <w:t>5</w:t>
      </w:r>
      <w:r w:rsidRPr="00827F41">
        <w:rPr>
          <w:rFonts w:ascii="Arial" w:hAnsi="Arial" w:cs="Arial"/>
          <w:sz w:val="24"/>
        </w:rPr>
        <w:t xml:space="preserve">.W przypadku wspólnego ubiegania się o zamówienie przez Wykonawców są oni zobowiązani, na wezwanie Zamawiającego złożyć aktualne na dzień złożenia podmiotowe środki dowodowe, o których mowa w </w:t>
      </w:r>
      <w:proofErr w:type="spellStart"/>
      <w:r w:rsidR="00601E79">
        <w:rPr>
          <w:rFonts w:ascii="Arial" w:hAnsi="Arial" w:cs="Arial"/>
          <w:sz w:val="24"/>
        </w:rPr>
        <w:t>pkt</w:t>
      </w:r>
      <w:proofErr w:type="spellEnd"/>
      <w:r w:rsidRPr="00827F41">
        <w:rPr>
          <w:rFonts w:ascii="Arial" w:hAnsi="Arial" w:cs="Arial"/>
          <w:sz w:val="24"/>
        </w:rPr>
        <w:t xml:space="preserve"> 11.5, przy czym: </w:t>
      </w:r>
    </w:p>
    <w:p w:rsidR="00827F41" w:rsidRDefault="00827F41" w:rsidP="001E6F56">
      <w:pPr>
        <w:spacing w:line="276" w:lineRule="auto"/>
        <w:ind w:left="1134" w:hanging="850"/>
        <w:jc w:val="both"/>
        <w:rPr>
          <w:rFonts w:ascii="Arial" w:hAnsi="Arial" w:cs="Arial"/>
          <w:sz w:val="24"/>
        </w:rPr>
      </w:pPr>
      <w:r w:rsidRPr="00827F41">
        <w:rPr>
          <w:rFonts w:ascii="Arial" w:hAnsi="Arial" w:cs="Arial"/>
          <w:sz w:val="24"/>
        </w:rPr>
        <w:t>13.</w:t>
      </w:r>
      <w:r w:rsidR="004F0EA8">
        <w:rPr>
          <w:rFonts w:ascii="Arial" w:hAnsi="Arial" w:cs="Arial"/>
          <w:sz w:val="24"/>
        </w:rPr>
        <w:t>5</w:t>
      </w:r>
      <w:r w:rsidRPr="00827F41">
        <w:rPr>
          <w:rFonts w:ascii="Arial" w:hAnsi="Arial" w:cs="Arial"/>
          <w:sz w:val="24"/>
        </w:rPr>
        <w:t xml:space="preserve">.1. </w:t>
      </w:r>
      <w:r>
        <w:rPr>
          <w:rFonts w:ascii="Arial" w:hAnsi="Arial" w:cs="Arial"/>
          <w:sz w:val="24"/>
        </w:rPr>
        <w:tab/>
      </w:r>
      <w:r w:rsidRPr="00827F41">
        <w:rPr>
          <w:rFonts w:ascii="Arial" w:hAnsi="Arial" w:cs="Arial"/>
          <w:sz w:val="24"/>
        </w:rPr>
        <w:t xml:space="preserve">podmiotowe środki dowodowe, o których mowa w </w:t>
      </w:r>
      <w:proofErr w:type="spellStart"/>
      <w:r w:rsidR="00601E79">
        <w:rPr>
          <w:rFonts w:ascii="Arial" w:hAnsi="Arial" w:cs="Arial"/>
          <w:sz w:val="24"/>
        </w:rPr>
        <w:t>pkt</w:t>
      </w:r>
      <w:proofErr w:type="spellEnd"/>
      <w:r w:rsidRPr="00827F41">
        <w:rPr>
          <w:rFonts w:ascii="Arial" w:hAnsi="Arial" w:cs="Arial"/>
          <w:sz w:val="24"/>
        </w:rPr>
        <w:t xml:space="preserve"> 11.5.1 składa każdy </w:t>
      </w:r>
      <w:r>
        <w:rPr>
          <w:rFonts w:ascii="Arial" w:hAnsi="Arial" w:cs="Arial"/>
          <w:sz w:val="24"/>
        </w:rPr>
        <w:t xml:space="preserve">    z </w:t>
      </w:r>
      <w:r w:rsidRPr="00827F41">
        <w:rPr>
          <w:rFonts w:ascii="Arial" w:hAnsi="Arial" w:cs="Arial"/>
          <w:sz w:val="24"/>
        </w:rPr>
        <w:t xml:space="preserve">Wykonawców wspólnie ubiegających się o zamówienia, </w:t>
      </w:r>
    </w:p>
    <w:p w:rsidR="00827F41" w:rsidRPr="00827F41" w:rsidRDefault="00827F41" w:rsidP="001E6F56">
      <w:pPr>
        <w:spacing w:line="276" w:lineRule="auto"/>
        <w:ind w:left="1134" w:hanging="850"/>
        <w:jc w:val="both"/>
        <w:rPr>
          <w:rFonts w:ascii="Arial" w:hAnsi="Arial" w:cs="Arial"/>
          <w:sz w:val="24"/>
        </w:rPr>
      </w:pPr>
      <w:r>
        <w:rPr>
          <w:rFonts w:ascii="Arial" w:hAnsi="Arial" w:cs="Arial"/>
          <w:sz w:val="24"/>
        </w:rPr>
        <w:t>13.</w:t>
      </w:r>
      <w:r w:rsidR="004F0EA8">
        <w:rPr>
          <w:rFonts w:ascii="Arial" w:hAnsi="Arial" w:cs="Arial"/>
          <w:sz w:val="24"/>
        </w:rPr>
        <w:t>5</w:t>
      </w:r>
      <w:r>
        <w:rPr>
          <w:rFonts w:ascii="Arial" w:hAnsi="Arial" w:cs="Arial"/>
          <w:sz w:val="24"/>
        </w:rPr>
        <w:t>.2</w:t>
      </w:r>
      <w:r w:rsidRPr="00827F41">
        <w:rPr>
          <w:rFonts w:ascii="Arial" w:hAnsi="Arial" w:cs="Arial"/>
          <w:sz w:val="24"/>
        </w:rPr>
        <w:t xml:space="preserve"> podmiotowe środki dowodowe, o których mowa w </w:t>
      </w:r>
      <w:proofErr w:type="spellStart"/>
      <w:r w:rsidR="00601E79">
        <w:rPr>
          <w:rFonts w:ascii="Arial" w:hAnsi="Arial" w:cs="Arial"/>
          <w:sz w:val="24"/>
        </w:rPr>
        <w:t>pkt</w:t>
      </w:r>
      <w:proofErr w:type="spellEnd"/>
      <w:r w:rsidRPr="00827F41">
        <w:rPr>
          <w:rFonts w:ascii="Arial" w:hAnsi="Arial" w:cs="Arial"/>
          <w:sz w:val="24"/>
        </w:rPr>
        <w:t xml:space="preserve"> 11.5.2 składa odpowiednio Wykonawca/Wykonawcy, który/którzy wykazuje/wykazują spełnianie warunku, w zakresie i na zasadach opisanych w </w:t>
      </w:r>
      <w:proofErr w:type="spellStart"/>
      <w:r w:rsidR="00601E79">
        <w:rPr>
          <w:rFonts w:ascii="Arial" w:hAnsi="Arial" w:cs="Arial"/>
          <w:sz w:val="24"/>
        </w:rPr>
        <w:t>pkt</w:t>
      </w:r>
      <w:proofErr w:type="spellEnd"/>
      <w:r w:rsidRPr="00827F41">
        <w:rPr>
          <w:rFonts w:ascii="Arial" w:hAnsi="Arial" w:cs="Arial"/>
          <w:sz w:val="24"/>
        </w:rPr>
        <w:t xml:space="preserve">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w:t>
      </w:r>
      <w:r w:rsidR="00CE15A5" w:rsidRPr="009119FC">
        <w:rPr>
          <w:rFonts w:ascii="Arial" w:eastAsia="Arial" w:hAnsi="Arial" w:cs="Arial"/>
          <w:sz w:val="24"/>
          <w:szCs w:val="24"/>
        </w:rPr>
        <w:lastRenderedPageBreak/>
        <w:t>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t>
      </w:r>
      <w:r w:rsidRPr="009119FC">
        <w:rPr>
          <w:rFonts w:ascii="Arial" w:eastAsia="Arial" w:hAnsi="Arial" w:cs="Arial"/>
          <w:sz w:val="24"/>
          <w:szCs w:val="24"/>
        </w:rPr>
        <w:lastRenderedPageBreak/>
        <w:t xml:space="preserve">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lastRenderedPageBreak/>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2"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t>
      </w:r>
      <w:r w:rsidRPr="00E373F3">
        <w:rPr>
          <w:rFonts w:ascii="Arial" w:hAnsi="Arial" w:cs="Arial"/>
          <w:sz w:val="24"/>
          <w:szCs w:val="24"/>
        </w:rPr>
        <w:lastRenderedPageBreak/>
        <w:t xml:space="preserve">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w:t>
      </w:r>
      <w:proofErr w:type="spellStart"/>
      <w:r w:rsidRPr="00E373F3">
        <w:rPr>
          <w:rFonts w:ascii="Arial" w:hAnsi="Arial" w:cs="Arial"/>
          <w:sz w:val="24"/>
          <w:szCs w:val="24"/>
        </w:rPr>
        <w:t>MHz</w:t>
      </w:r>
      <w:proofErr w:type="spellEnd"/>
      <w:r w:rsidRPr="00E373F3">
        <w:rPr>
          <w:rFonts w:ascii="Arial" w:hAnsi="Arial" w:cs="Arial"/>
          <w:sz w:val="24"/>
          <w:szCs w:val="24"/>
        </w:rPr>
        <w:t xml:space="preserve">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3">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 xml:space="preserve">Użytkownikom Zewnętrznym Wykonawcy przysługuje prawo korzystania z asysty obejmującej wsparcie techniczne w kwestiach dotyczących korzystania z </w:t>
      </w:r>
      <w:r w:rsidRPr="00E373F3">
        <w:rPr>
          <w:rFonts w:ascii="Arial" w:hAnsi="Arial" w:cs="Arial"/>
          <w:sz w:val="24"/>
          <w:szCs w:val="24"/>
        </w:rPr>
        <w:lastRenderedPageBreak/>
        <w:t>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4"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001737CA">
        <w:rPr>
          <w:rFonts w:ascii="Arial" w:hAnsi="Arial" w:cs="Arial"/>
          <w:b/>
          <w:color w:val="3333FF"/>
          <w:sz w:val="24"/>
          <w:szCs w:val="24"/>
        </w:rPr>
        <w:t>BS12.ZP.III.26.10.2022</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w:t>
      </w:r>
      <w:r w:rsidR="00713DCC" w:rsidRPr="00726489">
        <w:rPr>
          <w:rFonts w:ascii="Arial" w:hAnsi="Arial" w:cs="Arial"/>
          <w:sz w:val="24"/>
        </w:rPr>
        <w:lastRenderedPageBreak/>
        <w:t xml:space="preserve">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 xml:space="preserve">W celu zminimalizowania ryzyka wycieku danych osobowych w przypadku załączenia przez Wykonawcę pliku zawierającego dane osobowe zaleca się dołączenie drugiego pliku </w:t>
      </w:r>
      <w:proofErr w:type="spellStart"/>
      <w:r w:rsidR="00713DCC" w:rsidRPr="00726489">
        <w:rPr>
          <w:rFonts w:ascii="Arial" w:hAnsi="Arial" w:cs="Arial"/>
          <w:sz w:val="24"/>
        </w:rPr>
        <w:t>zanonimizowanego</w:t>
      </w:r>
      <w:proofErr w:type="spellEnd"/>
      <w:r w:rsidR="00713DCC" w:rsidRPr="00726489">
        <w:rPr>
          <w:rFonts w:ascii="Arial" w:hAnsi="Arial" w:cs="Arial"/>
          <w:sz w:val="24"/>
        </w:rPr>
        <w:t xml:space="preserve">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w:t>
      </w:r>
      <w:r w:rsidR="00713DCC" w:rsidRPr="00726489">
        <w:rPr>
          <w:rFonts w:ascii="Arial" w:hAnsi="Arial" w:cs="Arial"/>
          <w:sz w:val="24"/>
        </w:rPr>
        <w:lastRenderedPageBreak/>
        <w:t xml:space="preserve">internetowych kwalifikowanych dostawców usług zaufania, których lista znajduje się pod adresem internetowym: </w:t>
      </w:r>
    </w:p>
    <w:p w:rsidR="00713DCC" w:rsidRPr="00E373F3" w:rsidRDefault="00023075"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023075"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023075"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w:t>
      </w:r>
      <w:proofErr w:type="spellStart"/>
      <w:r w:rsidRPr="00E373F3">
        <w:t>„pd</w:t>
      </w:r>
      <w:proofErr w:type="spellEnd"/>
      <w:r w:rsidRPr="00E373F3">
        <w:t xml:space="preserve">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w:t>
      </w:r>
      <w:proofErr w:type="spellStart"/>
      <w:r w:rsidRPr="00E373F3">
        <w:t>„pd</w:t>
      </w:r>
      <w:proofErr w:type="spellEnd"/>
      <w:r w:rsidRPr="00E373F3">
        <w:t xml:space="preserve">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lastRenderedPageBreak/>
        <w:t>Zobowiązanie podmiotu trzeciego do oddania swego zasobu na potrzeby</w:t>
      </w:r>
    </w:p>
    <w:p w:rsidR="00A603EE" w:rsidRDefault="00A603EE" w:rsidP="000A69B5">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xml:space="preserve">) - </w:t>
      </w:r>
      <w:r w:rsidRPr="00FF7DF3">
        <w:rPr>
          <w:b/>
          <w:sz w:val="24"/>
          <w:szCs w:val="24"/>
          <w:lang w:eastAsia="pl-PL" w:bidi="pl-PL"/>
        </w:rPr>
        <w:t>jeśli dotyczy</w:t>
      </w:r>
      <w:r w:rsidRPr="00FE63BF">
        <w:rPr>
          <w:sz w:val="24"/>
          <w:szCs w:val="24"/>
          <w:lang w:eastAsia="pl-PL" w:bidi="pl-PL"/>
        </w:rPr>
        <w:t>,</w:t>
      </w:r>
    </w:p>
    <w:p w:rsidR="007438F1" w:rsidRPr="00933ADA" w:rsidRDefault="007438F1" w:rsidP="007438F1">
      <w:pPr>
        <w:pStyle w:val="Teksttreci0"/>
        <w:numPr>
          <w:ilvl w:val="0"/>
          <w:numId w:val="15"/>
        </w:numPr>
        <w:spacing w:after="0"/>
        <w:ind w:left="709" w:hanging="425"/>
        <w:jc w:val="both"/>
        <w:rPr>
          <w:sz w:val="24"/>
          <w:szCs w:val="24"/>
          <w:lang w:eastAsia="pl-PL" w:bidi="pl-PL"/>
        </w:rPr>
      </w:pPr>
      <w:r w:rsidRPr="00933ADA">
        <w:rPr>
          <w:sz w:val="24"/>
          <w:szCs w:val="24"/>
          <w:lang w:eastAsia="pl-PL" w:bidi="pl-PL"/>
        </w:rPr>
        <w:t>Oświadczenie, z którego wynika, które usługi wykonają poszczególni</w:t>
      </w:r>
    </w:p>
    <w:p w:rsidR="007438F1" w:rsidRPr="007438F1" w:rsidRDefault="007438F1" w:rsidP="007438F1">
      <w:pPr>
        <w:pStyle w:val="Teksttreci0"/>
        <w:spacing w:after="0"/>
        <w:ind w:left="709"/>
        <w:jc w:val="both"/>
        <w:rPr>
          <w:sz w:val="24"/>
          <w:szCs w:val="24"/>
          <w:lang w:eastAsia="pl-PL" w:bidi="pl-PL"/>
        </w:rPr>
      </w:pPr>
      <w:r w:rsidRPr="00933ADA">
        <w:rPr>
          <w:sz w:val="24"/>
          <w:szCs w:val="24"/>
          <w:lang w:eastAsia="pl-PL" w:bidi="pl-PL"/>
        </w:rPr>
        <w:t xml:space="preserve">Wykonawcy, w przypadku Wykonawców wspólnie ubiegających się o udzielenie zamówienia (wzór oświadczenia </w:t>
      </w:r>
      <w:r w:rsidRPr="00A22E09">
        <w:rPr>
          <w:b/>
          <w:bCs/>
          <w:sz w:val="24"/>
          <w:szCs w:val="24"/>
          <w:lang w:eastAsia="pl-PL" w:bidi="pl-PL"/>
        </w:rPr>
        <w:t>- Załącznik nr 9 do SWZ</w:t>
      </w:r>
      <w:r>
        <w:rPr>
          <w:b/>
          <w:bCs/>
          <w:sz w:val="24"/>
          <w:szCs w:val="24"/>
          <w:lang w:eastAsia="pl-PL" w:bidi="pl-PL"/>
        </w:rPr>
        <w:t>)</w:t>
      </w:r>
      <w:r w:rsidRPr="00A22E09">
        <w:rPr>
          <w:b/>
          <w:bCs/>
          <w:sz w:val="24"/>
          <w:szCs w:val="24"/>
          <w:lang w:eastAsia="pl-PL" w:bidi="pl-PL"/>
        </w:rPr>
        <w:t xml:space="preserve"> - jeśli dotyczy</w:t>
      </w:r>
      <w:r w:rsidRPr="00933ADA">
        <w:rPr>
          <w:sz w:val="24"/>
          <w:szCs w:val="24"/>
          <w:lang w:eastAsia="pl-PL" w:bidi="pl-PL"/>
        </w:rPr>
        <w:t>,</w:t>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w:t>
      </w:r>
      <w:r w:rsidR="00713DCC" w:rsidRPr="00E373F3">
        <w:rPr>
          <w:rFonts w:ascii="Arial" w:hAnsi="Arial" w:cs="Arial"/>
          <w:sz w:val="24"/>
          <w:szCs w:val="24"/>
        </w:rPr>
        <w:lastRenderedPageBreak/>
        <w:t>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proofErr w:type="spellStart"/>
      <w:r w:rsidR="00601E79">
        <w:rPr>
          <w:rFonts w:ascii="Arial" w:hAnsi="Arial" w:cs="Arial"/>
          <w:sz w:val="24"/>
          <w:szCs w:val="24"/>
        </w:rPr>
        <w:t>pkt</w:t>
      </w:r>
      <w:proofErr w:type="spellEnd"/>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 xml:space="preserve">Jeżeli oferta zawiera informacje stanowiące tajemnicę przedsiębiorstwa w rozumieniu ustawy z dnia 16 kwietnia 1993 </w:t>
      </w:r>
      <w:proofErr w:type="spellStart"/>
      <w:r w:rsidR="00713DCC" w:rsidRPr="00E373F3">
        <w:rPr>
          <w:rFonts w:ascii="Arial" w:hAnsi="Arial" w:cs="Arial"/>
          <w:sz w:val="24"/>
          <w:szCs w:val="24"/>
        </w:rPr>
        <w:t>r</w:t>
      </w:r>
      <w:proofErr w:type="spellEnd"/>
      <w:r w:rsidR="00713DCC" w:rsidRPr="00E373F3">
        <w:rPr>
          <w:rFonts w:ascii="Arial" w:hAnsi="Arial" w:cs="Arial"/>
          <w:sz w:val="24"/>
          <w:szCs w:val="24"/>
        </w:rPr>
        <w:t xml:space="preserve">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8"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w:t>
      </w:r>
      <w:r w:rsidRPr="009119FC">
        <w:rPr>
          <w:rFonts w:ascii="Arial" w:eastAsia="Arial" w:hAnsi="Arial" w:cs="Arial"/>
          <w:sz w:val="24"/>
          <w:szCs w:val="24"/>
        </w:rPr>
        <w:lastRenderedPageBreak/>
        <w:t>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1737CA">
        <w:rPr>
          <w:rFonts w:ascii="Arial" w:hAnsi="Arial" w:cs="Arial"/>
          <w:b/>
          <w:sz w:val="24"/>
          <w:szCs w:val="24"/>
        </w:rPr>
        <w:t>01</w:t>
      </w:r>
      <w:r w:rsidR="00F977D7">
        <w:rPr>
          <w:rFonts w:ascii="Arial" w:hAnsi="Arial" w:cs="Arial"/>
          <w:b/>
          <w:sz w:val="24"/>
          <w:szCs w:val="24"/>
        </w:rPr>
        <w:t>.1</w:t>
      </w:r>
      <w:r w:rsidR="001737CA">
        <w:rPr>
          <w:rFonts w:ascii="Arial" w:hAnsi="Arial" w:cs="Arial"/>
          <w:b/>
          <w:sz w:val="24"/>
          <w:szCs w:val="24"/>
        </w:rPr>
        <w:t>2</w:t>
      </w:r>
      <w:r w:rsidR="00F977D7">
        <w:rPr>
          <w:rFonts w:ascii="Arial" w:hAnsi="Arial" w:cs="Arial"/>
          <w:b/>
          <w:sz w:val="24"/>
          <w:szCs w:val="24"/>
        </w:rPr>
        <w:t>.2022</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w:t>
      </w:r>
      <w:r w:rsidR="001737CA">
        <w:rPr>
          <w:rFonts w:ascii="Arial" w:hAnsi="Arial" w:cs="Arial"/>
          <w:b/>
          <w:sz w:val="24"/>
          <w:szCs w:val="24"/>
        </w:rPr>
        <w:t>0</w:t>
      </w:r>
      <w:r w:rsidR="002A1F31" w:rsidRPr="00DA384F">
        <w:rPr>
          <w:rFonts w:ascii="Arial" w:hAnsi="Arial" w:cs="Arial"/>
          <w:b/>
          <w:sz w:val="24"/>
          <w:szCs w:val="24"/>
        </w:rPr>
        <w:t>:00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1737CA">
        <w:rPr>
          <w:rFonts w:ascii="Arial" w:hAnsi="Arial" w:cs="Arial"/>
          <w:b/>
          <w:sz w:val="24"/>
          <w:szCs w:val="24"/>
        </w:rPr>
        <w:t>01</w:t>
      </w:r>
      <w:r w:rsidR="00F977D7">
        <w:rPr>
          <w:rFonts w:ascii="Arial" w:hAnsi="Arial" w:cs="Arial"/>
          <w:b/>
          <w:sz w:val="24"/>
          <w:szCs w:val="24"/>
        </w:rPr>
        <w:t>.1</w:t>
      </w:r>
      <w:r w:rsidR="001737CA">
        <w:rPr>
          <w:rFonts w:ascii="Arial" w:hAnsi="Arial" w:cs="Arial"/>
          <w:b/>
          <w:sz w:val="24"/>
          <w:szCs w:val="24"/>
        </w:rPr>
        <w:t>2</w:t>
      </w:r>
      <w:r w:rsidR="00F977D7">
        <w:rPr>
          <w:rFonts w:ascii="Arial" w:hAnsi="Arial" w:cs="Arial"/>
          <w:b/>
          <w:sz w:val="24"/>
          <w:szCs w:val="24"/>
        </w:rPr>
        <w:t>.2022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1737CA">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C79F5">
        <w:rPr>
          <w:rFonts w:ascii="Arial" w:eastAsia="Arial" w:hAnsi="Arial" w:cs="Arial"/>
          <w:sz w:val="24"/>
          <w:szCs w:val="24"/>
        </w:rPr>
        <w:t>ą</w:t>
      </w:r>
      <w:r w:rsidR="00CE15A5" w:rsidRPr="009119FC">
        <w:rPr>
          <w:rFonts w:ascii="Arial" w:eastAsia="Arial" w:hAnsi="Arial" w:cs="Arial"/>
          <w:sz w:val="24"/>
          <w:szCs w:val="24"/>
        </w:rPr>
        <w:t xml:space="preserve">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 xml:space="preserve">inie określonym w </w:t>
      </w:r>
      <w:proofErr w:type="spellStart"/>
      <w:r w:rsidR="004A6C44">
        <w:rPr>
          <w:rFonts w:ascii="Arial" w:eastAsia="Arial" w:hAnsi="Arial" w:cs="Arial"/>
          <w:sz w:val="24"/>
          <w:szCs w:val="24"/>
        </w:rPr>
        <w:t>pkt</w:t>
      </w:r>
      <w:proofErr w:type="spellEnd"/>
      <w:r w:rsidR="004A6C44">
        <w:rPr>
          <w:rFonts w:ascii="Arial" w:eastAsia="Arial" w:hAnsi="Arial" w:cs="Arial"/>
          <w:sz w:val="24"/>
          <w:szCs w:val="24"/>
        </w:rPr>
        <w:t xml:space="preserve">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w:t>
      </w:r>
      <w:r w:rsidR="00CE15A5" w:rsidRPr="009119FC">
        <w:rPr>
          <w:rFonts w:ascii="Arial" w:eastAsia="Arial" w:hAnsi="Arial" w:cs="Arial"/>
          <w:sz w:val="24"/>
          <w:szCs w:val="24"/>
        </w:rPr>
        <w:lastRenderedPageBreak/>
        <w:t>zastosowania kryterium ceny lub kosztu Zamawiający dolicza do przedstawionej 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w:t>
      </w:r>
      <w:r w:rsidR="00CE15A5" w:rsidRPr="009119FC">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28.7pt" o:ole="" filled="t">
            <v:fill color2="black"/>
            <v:imagedata r:id="rId19" o:title=""/>
          </v:shape>
          <o:OLEObject Type="Embed" ProgID="Microsoft" ShapeID="_x0000_i1025" DrawAspect="Content" ObjectID="_1730574126" r:id="rId20"/>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USTAWY PZP</w:t>
      </w:r>
    </w:p>
    <w:p w:rsidR="00CE15A5" w:rsidRPr="009119FC" w:rsidRDefault="00CE15A5" w:rsidP="001E6F56">
      <w:pPr>
        <w:spacing w:line="276" w:lineRule="auto"/>
        <w:jc w:val="both"/>
        <w:rPr>
          <w:rFonts w:ascii="Arial" w:hAnsi="Arial" w:cs="Arial"/>
          <w:sz w:val="24"/>
          <w:szCs w:val="24"/>
        </w:rPr>
      </w:pPr>
    </w:p>
    <w:p w:rsidR="00EA663A" w:rsidRPr="0086541B" w:rsidRDefault="00CE15A5" w:rsidP="0086541B">
      <w:pPr>
        <w:spacing w:line="276" w:lineRule="auto"/>
        <w:ind w:left="426"/>
        <w:rPr>
          <w:rFonts w:ascii="Arial" w:eastAsia="Arial" w:hAnsi="Arial" w:cs="Arial"/>
          <w:sz w:val="24"/>
          <w:szCs w:val="24"/>
        </w:rPr>
      </w:pPr>
      <w:r w:rsidRPr="0086541B">
        <w:rPr>
          <w:rFonts w:ascii="Arial" w:eastAsia="Arial" w:hAnsi="Arial" w:cs="Arial"/>
          <w:sz w:val="24"/>
          <w:szCs w:val="24"/>
        </w:rPr>
        <w:t>Zamawiający nie przewiduje udzielenia zamówie</w:t>
      </w:r>
      <w:r w:rsidR="00EA663A" w:rsidRPr="0086541B">
        <w:rPr>
          <w:rFonts w:ascii="Arial" w:eastAsia="Arial" w:hAnsi="Arial" w:cs="Arial"/>
          <w:sz w:val="24"/>
          <w:szCs w:val="24"/>
        </w:rPr>
        <w:t>nia, o którym mowa w art.214 ust.1 pk7.</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lastRenderedPageBreak/>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.7. Odwołanie w przypadkach innych niż określone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1">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23598A" w:rsidRPr="009119FC" w:rsidRDefault="0023598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 xml:space="preserve">Załącznik nr 9  </w:t>
      </w:r>
      <w:r w:rsidRPr="001E4156">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ab/>
        <w:t>Oświadczenie podział obowiązków</w:t>
      </w:r>
    </w:p>
    <w:p w:rsidR="00FC19E9" w:rsidRPr="009119FC" w:rsidRDefault="00A2688B"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2"/>
      <w:footerReference w:type="default" r:id="rId23"/>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0B" w:rsidRDefault="00B4420B" w:rsidP="00E06957">
      <w:r>
        <w:separator/>
      </w:r>
    </w:p>
  </w:endnote>
  <w:endnote w:type="continuationSeparator" w:id="0">
    <w:p w:rsidR="00B4420B" w:rsidRDefault="00B4420B"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C4023C" w:rsidRDefault="00C4023C">
            <w:pPr>
              <w:pStyle w:val="Stopka"/>
              <w:jc w:val="right"/>
            </w:pPr>
            <w:r>
              <w:t xml:space="preserve">Strona </w:t>
            </w:r>
            <w:r w:rsidR="00023075">
              <w:rPr>
                <w:b/>
                <w:sz w:val="24"/>
                <w:szCs w:val="24"/>
              </w:rPr>
              <w:fldChar w:fldCharType="begin"/>
            </w:r>
            <w:r>
              <w:rPr>
                <w:b/>
              </w:rPr>
              <w:instrText>PAGE</w:instrText>
            </w:r>
            <w:r w:rsidR="00023075">
              <w:rPr>
                <w:b/>
                <w:sz w:val="24"/>
                <w:szCs w:val="24"/>
              </w:rPr>
              <w:fldChar w:fldCharType="separate"/>
            </w:r>
            <w:r w:rsidR="00A2688B">
              <w:rPr>
                <w:b/>
                <w:noProof/>
              </w:rPr>
              <w:t>31</w:t>
            </w:r>
            <w:r w:rsidR="00023075">
              <w:rPr>
                <w:b/>
                <w:sz w:val="24"/>
                <w:szCs w:val="24"/>
              </w:rPr>
              <w:fldChar w:fldCharType="end"/>
            </w:r>
            <w:r>
              <w:t xml:space="preserve"> z </w:t>
            </w:r>
            <w:r w:rsidR="00023075">
              <w:rPr>
                <w:b/>
                <w:sz w:val="24"/>
                <w:szCs w:val="24"/>
              </w:rPr>
              <w:fldChar w:fldCharType="begin"/>
            </w:r>
            <w:r>
              <w:rPr>
                <w:b/>
              </w:rPr>
              <w:instrText>NUMPAGES</w:instrText>
            </w:r>
            <w:r w:rsidR="00023075">
              <w:rPr>
                <w:b/>
                <w:sz w:val="24"/>
                <w:szCs w:val="24"/>
              </w:rPr>
              <w:fldChar w:fldCharType="separate"/>
            </w:r>
            <w:r w:rsidR="00A2688B">
              <w:rPr>
                <w:b/>
                <w:noProof/>
              </w:rPr>
              <w:t>31</w:t>
            </w:r>
            <w:r w:rsidR="00023075">
              <w:rPr>
                <w:b/>
                <w:sz w:val="24"/>
                <w:szCs w:val="24"/>
              </w:rPr>
              <w:fldChar w:fldCharType="end"/>
            </w:r>
          </w:p>
        </w:sdtContent>
      </w:sdt>
    </w:sdtContent>
  </w:sdt>
  <w:p w:rsidR="00C4023C" w:rsidRDefault="00C402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0B" w:rsidRDefault="00B4420B" w:rsidP="00E06957">
      <w:r>
        <w:separator/>
      </w:r>
    </w:p>
  </w:footnote>
  <w:footnote w:type="continuationSeparator" w:id="0">
    <w:p w:rsidR="00B4420B" w:rsidRDefault="00B4420B"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6E" w:rsidRDefault="00390A6E">
    <w:pPr>
      <w:pStyle w:val="Nagwek"/>
    </w:pPr>
  </w:p>
  <w:p w:rsidR="00390A6E" w:rsidRDefault="00390A6E">
    <w:pPr>
      <w:pStyle w:val="Nagwek"/>
    </w:pPr>
  </w:p>
  <w:p w:rsidR="00390A6E" w:rsidRDefault="001737CA" w:rsidP="00390A6E">
    <w:pPr>
      <w:pStyle w:val="Nagwek"/>
      <w:jc w:val="right"/>
    </w:pPr>
    <w:r>
      <w:t>BS12.ZP.III.26.10</w:t>
    </w:r>
    <w:r w:rsidR="00390A6E">
      <w:t>.2022</w:t>
    </w:r>
  </w:p>
  <w:p w:rsidR="00390A6E" w:rsidRDefault="00390A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7"/>
  </w:num>
  <w:num w:numId="9">
    <w:abstractNumId w:val="27"/>
  </w:num>
  <w:num w:numId="10">
    <w:abstractNumId w:val="9"/>
  </w:num>
  <w:num w:numId="11">
    <w:abstractNumId w:val="23"/>
  </w:num>
  <w:num w:numId="12">
    <w:abstractNumId w:val="22"/>
  </w:num>
  <w:num w:numId="13">
    <w:abstractNumId w:val="19"/>
  </w:num>
  <w:num w:numId="14">
    <w:abstractNumId w:val="8"/>
  </w:num>
  <w:num w:numId="15">
    <w:abstractNumId w:val="21"/>
  </w:num>
  <w:num w:numId="16">
    <w:abstractNumId w:val="13"/>
  </w:num>
  <w:num w:numId="17">
    <w:abstractNumId w:val="26"/>
  </w:num>
  <w:num w:numId="18">
    <w:abstractNumId w:val="16"/>
  </w:num>
  <w:num w:numId="19">
    <w:abstractNumId w:val="10"/>
  </w:num>
  <w:num w:numId="20">
    <w:abstractNumId w:val="12"/>
  </w:num>
  <w:num w:numId="21">
    <w:abstractNumId w:val="24"/>
  </w:num>
  <w:num w:numId="22">
    <w:abstractNumId w:val="14"/>
  </w:num>
  <w:num w:numId="23">
    <w:abstractNumId w:val="28"/>
  </w:num>
  <w:num w:numId="24">
    <w:abstractNumId w:val="25"/>
  </w:num>
  <w:num w:numId="25">
    <w:abstractNumId w:val="18"/>
  </w:num>
  <w:num w:numId="26">
    <w:abstractNumId w:val="11"/>
  </w:num>
  <w:num w:numId="27">
    <w:abstractNumId w:val="15"/>
  </w:num>
  <w:num w:numId="28">
    <w:abstractNumId w:val="0"/>
  </w:num>
  <w:num w:numId="29">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CE15A5"/>
    <w:rsid w:val="00011628"/>
    <w:rsid w:val="00013654"/>
    <w:rsid w:val="00013740"/>
    <w:rsid w:val="00023075"/>
    <w:rsid w:val="000252BC"/>
    <w:rsid w:val="000332C4"/>
    <w:rsid w:val="00034FF7"/>
    <w:rsid w:val="00053EE5"/>
    <w:rsid w:val="0006338B"/>
    <w:rsid w:val="000739DB"/>
    <w:rsid w:val="0008093E"/>
    <w:rsid w:val="00080F28"/>
    <w:rsid w:val="0008483C"/>
    <w:rsid w:val="00090CC6"/>
    <w:rsid w:val="000A5865"/>
    <w:rsid w:val="000A69B5"/>
    <w:rsid w:val="000B1C75"/>
    <w:rsid w:val="000B34F1"/>
    <w:rsid w:val="000B5212"/>
    <w:rsid w:val="000D08B3"/>
    <w:rsid w:val="000D3086"/>
    <w:rsid w:val="000D41B2"/>
    <w:rsid w:val="000E08EE"/>
    <w:rsid w:val="000E4E19"/>
    <w:rsid w:val="000F21DD"/>
    <w:rsid w:val="000F4786"/>
    <w:rsid w:val="00107C3E"/>
    <w:rsid w:val="0012311F"/>
    <w:rsid w:val="0012528A"/>
    <w:rsid w:val="0013169F"/>
    <w:rsid w:val="001438CA"/>
    <w:rsid w:val="00145775"/>
    <w:rsid w:val="00150D83"/>
    <w:rsid w:val="00166CAB"/>
    <w:rsid w:val="001737CA"/>
    <w:rsid w:val="00183640"/>
    <w:rsid w:val="001A2E79"/>
    <w:rsid w:val="001A483A"/>
    <w:rsid w:val="001A54CD"/>
    <w:rsid w:val="001B0A42"/>
    <w:rsid w:val="001B4ACF"/>
    <w:rsid w:val="001B7103"/>
    <w:rsid w:val="001B73F1"/>
    <w:rsid w:val="001C34D3"/>
    <w:rsid w:val="001D4589"/>
    <w:rsid w:val="001E6F56"/>
    <w:rsid w:val="001E7BEF"/>
    <w:rsid w:val="001F34A5"/>
    <w:rsid w:val="002104B0"/>
    <w:rsid w:val="0021077E"/>
    <w:rsid w:val="00211148"/>
    <w:rsid w:val="0021297E"/>
    <w:rsid w:val="00220418"/>
    <w:rsid w:val="00227798"/>
    <w:rsid w:val="002337FE"/>
    <w:rsid w:val="0023598A"/>
    <w:rsid w:val="0024061E"/>
    <w:rsid w:val="00243782"/>
    <w:rsid w:val="00256B63"/>
    <w:rsid w:val="00257137"/>
    <w:rsid w:val="00262CE6"/>
    <w:rsid w:val="00274040"/>
    <w:rsid w:val="00276481"/>
    <w:rsid w:val="00284652"/>
    <w:rsid w:val="002963DD"/>
    <w:rsid w:val="002A1307"/>
    <w:rsid w:val="002A1F31"/>
    <w:rsid w:val="002B01D8"/>
    <w:rsid w:val="002C47BA"/>
    <w:rsid w:val="002C7678"/>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C5F"/>
    <w:rsid w:val="003E1215"/>
    <w:rsid w:val="003E5548"/>
    <w:rsid w:val="003E55B4"/>
    <w:rsid w:val="003F75E8"/>
    <w:rsid w:val="00415927"/>
    <w:rsid w:val="004166E3"/>
    <w:rsid w:val="00426F6B"/>
    <w:rsid w:val="004279C4"/>
    <w:rsid w:val="00430F9A"/>
    <w:rsid w:val="00435061"/>
    <w:rsid w:val="00435A5F"/>
    <w:rsid w:val="004422D6"/>
    <w:rsid w:val="00443138"/>
    <w:rsid w:val="00461A49"/>
    <w:rsid w:val="0046618C"/>
    <w:rsid w:val="00466A35"/>
    <w:rsid w:val="00470FE2"/>
    <w:rsid w:val="00471CFC"/>
    <w:rsid w:val="004757FB"/>
    <w:rsid w:val="00481FB0"/>
    <w:rsid w:val="0048369D"/>
    <w:rsid w:val="004841C0"/>
    <w:rsid w:val="00485C12"/>
    <w:rsid w:val="004877C0"/>
    <w:rsid w:val="00490133"/>
    <w:rsid w:val="004A6C44"/>
    <w:rsid w:val="004A6E3A"/>
    <w:rsid w:val="004B1367"/>
    <w:rsid w:val="004B4A3D"/>
    <w:rsid w:val="004C3C31"/>
    <w:rsid w:val="004D5336"/>
    <w:rsid w:val="004F0EA8"/>
    <w:rsid w:val="00500187"/>
    <w:rsid w:val="00501EEB"/>
    <w:rsid w:val="00503473"/>
    <w:rsid w:val="00504117"/>
    <w:rsid w:val="00504BED"/>
    <w:rsid w:val="00505BE3"/>
    <w:rsid w:val="00513441"/>
    <w:rsid w:val="00514CE3"/>
    <w:rsid w:val="0052338A"/>
    <w:rsid w:val="0052592F"/>
    <w:rsid w:val="00542E9B"/>
    <w:rsid w:val="00543E9D"/>
    <w:rsid w:val="00544701"/>
    <w:rsid w:val="00582663"/>
    <w:rsid w:val="005906C8"/>
    <w:rsid w:val="00592E71"/>
    <w:rsid w:val="00597172"/>
    <w:rsid w:val="005A2995"/>
    <w:rsid w:val="005B4822"/>
    <w:rsid w:val="005B660F"/>
    <w:rsid w:val="005B72B1"/>
    <w:rsid w:val="005C67F1"/>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38AF"/>
    <w:rsid w:val="006B0271"/>
    <w:rsid w:val="006C43A6"/>
    <w:rsid w:val="006C5D80"/>
    <w:rsid w:val="006D0A7E"/>
    <w:rsid w:val="006D7A36"/>
    <w:rsid w:val="006D7F83"/>
    <w:rsid w:val="006E1F2F"/>
    <w:rsid w:val="006E35FA"/>
    <w:rsid w:val="006F1182"/>
    <w:rsid w:val="006F6C72"/>
    <w:rsid w:val="00713DCC"/>
    <w:rsid w:val="00716630"/>
    <w:rsid w:val="007178EC"/>
    <w:rsid w:val="007200C9"/>
    <w:rsid w:val="00723F77"/>
    <w:rsid w:val="00726489"/>
    <w:rsid w:val="00727E03"/>
    <w:rsid w:val="007438F1"/>
    <w:rsid w:val="00744DFF"/>
    <w:rsid w:val="00753958"/>
    <w:rsid w:val="007731D9"/>
    <w:rsid w:val="0078320D"/>
    <w:rsid w:val="00795983"/>
    <w:rsid w:val="007A44FC"/>
    <w:rsid w:val="007A6089"/>
    <w:rsid w:val="007A7D0D"/>
    <w:rsid w:val="007B1DAC"/>
    <w:rsid w:val="007C5243"/>
    <w:rsid w:val="007C589A"/>
    <w:rsid w:val="007C79F5"/>
    <w:rsid w:val="007D02F3"/>
    <w:rsid w:val="007D2EE3"/>
    <w:rsid w:val="007D6AA0"/>
    <w:rsid w:val="007F03F8"/>
    <w:rsid w:val="007F3279"/>
    <w:rsid w:val="007F45A8"/>
    <w:rsid w:val="007F6942"/>
    <w:rsid w:val="00800263"/>
    <w:rsid w:val="00801AD9"/>
    <w:rsid w:val="008053CC"/>
    <w:rsid w:val="008071D5"/>
    <w:rsid w:val="00815564"/>
    <w:rsid w:val="0082031A"/>
    <w:rsid w:val="00825C20"/>
    <w:rsid w:val="00826D1F"/>
    <w:rsid w:val="00827F41"/>
    <w:rsid w:val="00830CC7"/>
    <w:rsid w:val="008333CF"/>
    <w:rsid w:val="00837AC9"/>
    <w:rsid w:val="0084324F"/>
    <w:rsid w:val="00847A62"/>
    <w:rsid w:val="0086541B"/>
    <w:rsid w:val="00867A67"/>
    <w:rsid w:val="00867A73"/>
    <w:rsid w:val="00880259"/>
    <w:rsid w:val="00880431"/>
    <w:rsid w:val="00883D57"/>
    <w:rsid w:val="00886EC1"/>
    <w:rsid w:val="008A73E4"/>
    <w:rsid w:val="008B45BC"/>
    <w:rsid w:val="008C2860"/>
    <w:rsid w:val="008D0358"/>
    <w:rsid w:val="008D6E55"/>
    <w:rsid w:val="008E1922"/>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2BD4"/>
    <w:rsid w:val="0099651C"/>
    <w:rsid w:val="009A330C"/>
    <w:rsid w:val="009B2D3D"/>
    <w:rsid w:val="009B7C86"/>
    <w:rsid w:val="009C12FA"/>
    <w:rsid w:val="009C3217"/>
    <w:rsid w:val="009D3176"/>
    <w:rsid w:val="009D3DDA"/>
    <w:rsid w:val="009D6101"/>
    <w:rsid w:val="009E4916"/>
    <w:rsid w:val="009E4F8F"/>
    <w:rsid w:val="009E7A62"/>
    <w:rsid w:val="009F4582"/>
    <w:rsid w:val="00A01692"/>
    <w:rsid w:val="00A01F67"/>
    <w:rsid w:val="00A1450F"/>
    <w:rsid w:val="00A22BD6"/>
    <w:rsid w:val="00A2493D"/>
    <w:rsid w:val="00A2688B"/>
    <w:rsid w:val="00A26954"/>
    <w:rsid w:val="00A27100"/>
    <w:rsid w:val="00A30A0C"/>
    <w:rsid w:val="00A30ED6"/>
    <w:rsid w:val="00A333DF"/>
    <w:rsid w:val="00A5772A"/>
    <w:rsid w:val="00A603EE"/>
    <w:rsid w:val="00A71513"/>
    <w:rsid w:val="00A95482"/>
    <w:rsid w:val="00A9686A"/>
    <w:rsid w:val="00AA7C7E"/>
    <w:rsid w:val="00AB1D93"/>
    <w:rsid w:val="00AD20F0"/>
    <w:rsid w:val="00AD6FEA"/>
    <w:rsid w:val="00AE0BD7"/>
    <w:rsid w:val="00AF1469"/>
    <w:rsid w:val="00B0272C"/>
    <w:rsid w:val="00B066B6"/>
    <w:rsid w:val="00B12124"/>
    <w:rsid w:val="00B14A46"/>
    <w:rsid w:val="00B30175"/>
    <w:rsid w:val="00B43B85"/>
    <w:rsid w:val="00B43F35"/>
    <w:rsid w:val="00B4420B"/>
    <w:rsid w:val="00B53BD2"/>
    <w:rsid w:val="00B6170B"/>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3E3C"/>
    <w:rsid w:val="00CB607C"/>
    <w:rsid w:val="00CB6A6B"/>
    <w:rsid w:val="00CB6F56"/>
    <w:rsid w:val="00CC67E2"/>
    <w:rsid w:val="00CE1098"/>
    <w:rsid w:val="00CE15A5"/>
    <w:rsid w:val="00CE5893"/>
    <w:rsid w:val="00CF18CF"/>
    <w:rsid w:val="00D24937"/>
    <w:rsid w:val="00D43540"/>
    <w:rsid w:val="00D71A84"/>
    <w:rsid w:val="00D734C8"/>
    <w:rsid w:val="00D7579D"/>
    <w:rsid w:val="00D93B2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740B"/>
    <w:rsid w:val="00EA1228"/>
    <w:rsid w:val="00EA2548"/>
    <w:rsid w:val="00EA663A"/>
    <w:rsid w:val="00ED79D2"/>
    <w:rsid w:val="00EF5C7D"/>
    <w:rsid w:val="00EF73E3"/>
    <w:rsid w:val="00F03726"/>
    <w:rsid w:val="00F03FC3"/>
    <w:rsid w:val="00F06280"/>
    <w:rsid w:val="00F07D7F"/>
    <w:rsid w:val="00F11F28"/>
    <w:rsid w:val="00F53237"/>
    <w:rsid w:val="00F54F3E"/>
    <w:rsid w:val="00F67C1A"/>
    <w:rsid w:val="00F70094"/>
    <w:rsid w:val="00F80D55"/>
    <w:rsid w:val="00F93156"/>
    <w:rsid w:val="00F977D7"/>
    <w:rsid w:val="00FA0F08"/>
    <w:rsid w:val="00FB13C9"/>
    <w:rsid w:val="00FB42FC"/>
    <w:rsid w:val="00FB6C80"/>
    <w:rsid w:val="00FC19E9"/>
    <w:rsid w:val="00FC3604"/>
    <w:rsid w:val="00FC59E8"/>
    <w:rsid w:val="00FD124C"/>
    <w:rsid w:val="00FD7247"/>
    <w:rsid w:val="00FF77D3"/>
    <w:rsid w:val="00FF7D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13" Type="http://schemas.openxmlformats.org/officeDocument/2006/relationships/hyperlink" Target="https://ezamowienia.ms.gov.pl/czs/elearning" TargetMode="External"/><Relationship Id="rId18" Type="http://schemas.openxmlformats.org/officeDocument/2006/relationships/hyperlink" Target="https://portal.smartpzp.pl/jednostki_uml" TargetMode="External"/><Relationship Id="rId3" Type="http://schemas.openxmlformats.org/officeDocument/2006/relationships/settings" Target="settings.xml"/><Relationship Id="rId21" Type="http://schemas.openxmlformats.org/officeDocument/2006/relationships/hyperlink" Target="mailto:kontakt@bs12.elodz.edu.pl" TargetMode="External"/><Relationship Id="rId7" Type="http://schemas.openxmlformats.org/officeDocument/2006/relationships/hyperlink" Target="https://www.bs12lodz.bip.wikom.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e-dowod/podpis-osobis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ert.pl/kontakt.htm." TargetMode="External"/><Relationship Id="rId23"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mailto:kontakt@bs12.elodz.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11163</Words>
  <Characters>66983</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308</cp:revision>
  <cp:lastPrinted>2022-09-26T11:08:00Z</cp:lastPrinted>
  <dcterms:created xsi:type="dcterms:W3CDTF">2022-09-20T13:38:00Z</dcterms:created>
  <dcterms:modified xsi:type="dcterms:W3CDTF">2022-11-21T21:16:00Z</dcterms:modified>
</cp:coreProperties>
</file>